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85CD" w14:textId="0EDE55FD" w:rsidR="004F7B24" w:rsidRDefault="009F5732">
      <w:r>
        <w:t>Profilo</w:t>
      </w:r>
    </w:p>
    <w:tbl>
      <w:tblPr>
        <w:tblW w:w="9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0"/>
        <w:gridCol w:w="855"/>
        <w:gridCol w:w="1530"/>
        <w:gridCol w:w="795"/>
        <w:gridCol w:w="435"/>
        <w:gridCol w:w="277"/>
        <w:gridCol w:w="1029"/>
        <w:gridCol w:w="2361"/>
        <w:gridCol w:w="129"/>
      </w:tblGrid>
      <w:tr w:rsidR="009F5732" w:rsidRPr="009F5732" w14:paraId="55CDF2B2" w14:textId="77777777" w:rsidTr="009F5732">
        <w:trPr>
          <w:gridAfter w:val="1"/>
          <w:wAfter w:w="129" w:type="dxa"/>
          <w:trHeight w:val="435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49B"/>
            <w:hideMark/>
          </w:tcPr>
          <w:p w14:paraId="6E139E4B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Titolo del profilo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3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C9B49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JUNIOR INFORMATION SECURITY CONSULTANT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F5732" w:rsidRPr="009F5732" w14:paraId="7589E8D6" w14:textId="77777777" w:rsidTr="009F5732">
        <w:trPr>
          <w:gridAfter w:val="1"/>
          <w:wAfter w:w="129" w:type="dxa"/>
          <w:trHeight w:val="555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49B"/>
            <w:hideMark/>
          </w:tcPr>
          <w:p w14:paraId="58E472D4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Descrizione sintetica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3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60987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Figura professionale di riferimento per insiemi definiti di attività e progetti collegate alla </w:t>
            </w:r>
          </w:p>
          <w:p w14:paraId="1B786A12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gestione della sicurezza delle informazioni. </w:t>
            </w:r>
          </w:p>
        </w:tc>
      </w:tr>
      <w:tr w:rsidR="009F5732" w:rsidRPr="009F5732" w14:paraId="654BFF12" w14:textId="77777777" w:rsidTr="009F5732">
        <w:trPr>
          <w:gridAfter w:val="1"/>
          <w:wAfter w:w="129" w:type="dxa"/>
          <w:trHeight w:val="1680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49B"/>
            <w:hideMark/>
          </w:tcPr>
          <w:p w14:paraId="46B651B4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5B6938E3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6EB835C7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17"/>
                <w:szCs w:val="17"/>
                <w:lang w:eastAsia="en-GB"/>
              </w:rPr>
              <w:t> </w:t>
            </w:r>
          </w:p>
          <w:p w14:paraId="2BF400EA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Missione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3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3E0F5" w14:textId="77777777" w:rsidR="009F5732" w:rsidRPr="009F5732" w:rsidRDefault="009F5732" w:rsidP="009F5732">
            <w:pPr>
              <w:spacing w:line="240" w:lineRule="auto"/>
              <w:ind w:left="105" w:right="9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Contribuisce nell’attuazione della strategia definita all’interno del suo ambito di responsabilità (sia questo un progetto, un processo, </w:t>
            </w:r>
            <w:proofErr w:type="gramStart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una location</w:t>
            </w:r>
            <w:proofErr w:type="gramEnd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 partecipando al ruolo di raccordo tra la struttura di governance della Cyber security e il resto del personale operativo. </w:t>
            </w:r>
          </w:p>
          <w:p w14:paraId="3D69E993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Controlla il rispetto alle regole definite e del cogente in materia di sicurezza delle </w:t>
            </w:r>
          </w:p>
          <w:p w14:paraId="23328CB0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informazioni.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F5732" w:rsidRPr="009F5732" w14:paraId="3304274F" w14:textId="77777777" w:rsidTr="009F5732">
        <w:trPr>
          <w:trHeight w:val="555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49B"/>
            <w:hideMark/>
          </w:tcPr>
          <w:p w14:paraId="12C3331C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58C6767" w14:textId="77777777" w:rsidR="009F5732" w:rsidRPr="009F5732" w:rsidRDefault="009F5732" w:rsidP="009F5732">
            <w:pPr>
              <w:spacing w:line="240" w:lineRule="auto"/>
              <w:ind w:left="105" w:right="-1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Attua misure di sicurezza </w:t>
            </w:r>
          </w:p>
          <w:p w14:paraId="5667B707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organizzazione. </w:t>
            </w:r>
          </w:p>
        </w:tc>
        <w:tc>
          <w:tcPr>
            <w:tcW w:w="150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3E574DD" w14:textId="77777777" w:rsidR="009F5732" w:rsidRPr="009F5732" w:rsidRDefault="009F5732" w:rsidP="009F5732">
            <w:pPr>
              <w:spacing w:line="240" w:lineRule="auto"/>
              <w:ind w:left="12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per proteggere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4C11CA5" w14:textId="77777777" w:rsidR="009F5732" w:rsidRPr="009F5732" w:rsidRDefault="009F5732" w:rsidP="009F5732">
            <w:pPr>
              <w:spacing w:line="240" w:lineRule="auto"/>
              <w:ind w:left="15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le reti e i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4E865" w14:textId="77777777" w:rsidR="009F5732" w:rsidRPr="009F5732" w:rsidRDefault="009F5732" w:rsidP="009F5732">
            <w:pPr>
              <w:spacing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sistemi informatici di una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F5732" w:rsidRPr="009F5732" w14:paraId="1A7285B4" w14:textId="77777777" w:rsidTr="009F5732">
        <w:trPr>
          <w:trHeight w:val="4800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49B"/>
            <w:hideMark/>
          </w:tcPr>
          <w:p w14:paraId="4164D984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54F9724C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00A2A32F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7A5ADFD1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0B495967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17F788D5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0E4900A4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21AA3BF7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1ACB48E7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5"/>
                <w:szCs w:val="25"/>
                <w:lang w:val="en-GB" w:eastAsia="en-GB"/>
              </w:rPr>
              <w:t> </w:t>
            </w:r>
          </w:p>
          <w:p w14:paraId="03B8750D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Principali Task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4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6F30DD" w14:textId="77777777" w:rsidR="009F5732" w:rsidRPr="009F5732" w:rsidRDefault="009F5732" w:rsidP="009F5732">
            <w:pPr>
              <w:numPr>
                <w:ilvl w:val="0"/>
                <w:numId w:val="1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Partecipazione al controllo delle reti dell’organizzazione per rilevare violazioni della sicurezza e indagare quando si verifica. </w:t>
            </w:r>
          </w:p>
          <w:p w14:paraId="02B27085" w14:textId="77777777" w:rsidR="009F5732" w:rsidRPr="009F5732" w:rsidRDefault="009F5732" w:rsidP="009F5732">
            <w:pPr>
              <w:numPr>
                <w:ilvl w:val="0"/>
                <w:numId w:val="1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Utilizzo del software, quali firewalls, web </w:t>
            </w:r>
            <w:proofErr w:type="spellStart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application</w:t>
            </w:r>
            <w:proofErr w:type="spellEnd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firewalls e programmi di data </w:t>
            </w:r>
            <w:proofErr w:type="spellStart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encryption</w:t>
            </w:r>
            <w:proofErr w:type="spellEnd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per proteggere informazioni sensibili. </w:t>
            </w:r>
          </w:p>
          <w:p w14:paraId="129356D1" w14:textId="77777777" w:rsidR="009F5732" w:rsidRPr="009F5732" w:rsidRDefault="009F5732" w:rsidP="009F5732">
            <w:pPr>
              <w:numPr>
                <w:ilvl w:val="0"/>
                <w:numId w:val="1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Collaborazione nella stesura documentazione e reportistica relativa a violazioni di sicurezza e la valutazione del danno da questa causato. </w:t>
            </w:r>
          </w:p>
          <w:p w14:paraId="397641C2" w14:textId="77777777" w:rsidR="009F5732" w:rsidRPr="009F5732" w:rsidRDefault="009F5732" w:rsidP="009F5732">
            <w:pPr>
              <w:numPr>
                <w:ilvl w:val="0"/>
                <w:numId w:val="1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Partecipazione alla effettuazione dei test di penetrazione, ovvero quando gli analisti simulano gli attacchi per cercare le vulnerabilità nei loro sistemi prima che possano essere sfruttate. </w:t>
            </w:r>
          </w:p>
          <w:p w14:paraId="08C571F1" w14:textId="77777777" w:rsidR="009F5732" w:rsidRPr="009F5732" w:rsidRDefault="009F5732" w:rsidP="009F5732">
            <w:pPr>
              <w:numPr>
                <w:ilvl w:val="0"/>
                <w:numId w:val="1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Aiuto nella pianificazione e realizzare un modello con cui un'organizzazione gestisce la sicurezza informatica. </w:t>
            </w:r>
          </w:p>
          <w:p w14:paraId="19B0E273" w14:textId="77777777" w:rsidR="009F5732" w:rsidRPr="009F5732" w:rsidRDefault="009F5732" w:rsidP="009F5732">
            <w:pPr>
              <w:numPr>
                <w:ilvl w:val="0"/>
                <w:numId w:val="1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Partecipazione nell’adozione di standard di Sicurezza e di best practices per l’organizzazione. </w:t>
            </w:r>
          </w:p>
          <w:p w14:paraId="31EC1C96" w14:textId="77777777" w:rsidR="009F5732" w:rsidRPr="009F5732" w:rsidRDefault="009F5732" w:rsidP="009F5732">
            <w:pPr>
              <w:numPr>
                <w:ilvl w:val="0"/>
                <w:numId w:val="1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Attuazione delle raccomandazioni di sicurezza al management o al personale IT </w:t>
            </w:r>
          </w:p>
          <w:p w14:paraId="4A1172EB" w14:textId="77777777" w:rsidR="009F5732" w:rsidRPr="009F5732" w:rsidRDefault="009F5732" w:rsidP="009F5732">
            <w:pPr>
              <w:numPr>
                <w:ilvl w:val="0"/>
                <w:numId w:val="1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Supporto agli utenti quando devono installare o conoscere nuovi prodotti e procedure di sicurezza. </w:t>
            </w:r>
          </w:p>
        </w:tc>
      </w:tr>
      <w:tr w:rsidR="009F5732" w:rsidRPr="009F5732" w14:paraId="787444E5" w14:textId="77777777" w:rsidTr="009F5732">
        <w:trPr>
          <w:trHeight w:val="240"/>
        </w:trPr>
        <w:tc>
          <w:tcPr>
            <w:tcW w:w="23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49B"/>
            <w:hideMark/>
          </w:tcPr>
          <w:p w14:paraId="3680062F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A10F7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B.2.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9B00B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Integrazione dei componenti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36771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Livello 3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F5732" w:rsidRPr="009F5732" w14:paraId="233EC1CA" w14:textId="77777777" w:rsidTr="009F5732">
        <w:trPr>
          <w:trHeight w:val="27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4064C" w14:textId="77777777" w:rsidR="009F5732" w:rsidRPr="009F5732" w:rsidRDefault="009F5732" w:rsidP="009F573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243E3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B.3.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330BC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Testing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16AE5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Livello 3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F5732" w:rsidRPr="009F5732" w14:paraId="7F8A6A7E" w14:textId="77777777" w:rsidTr="009F5732">
        <w:trPr>
          <w:trHeight w:val="27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9D19C1" w14:textId="77777777" w:rsidR="009F5732" w:rsidRPr="009F5732" w:rsidRDefault="009F5732" w:rsidP="009F573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1E3DE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C.4.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FA4ED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Gestione del problema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6D371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Livello 3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F5732" w:rsidRPr="009F5732" w14:paraId="0625913F" w14:textId="77777777" w:rsidTr="009F5732">
        <w:trPr>
          <w:trHeight w:val="55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2458CF" w14:textId="77777777" w:rsidR="009F5732" w:rsidRPr="009F5732" w:rsidRDefault="009F5732" w:rsidP="009F573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FF2EA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D.1.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6C6BC44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proofErr w:type="gramStart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Sviluppo  della</w:t>
            </w:r>
            <w:proofErr w:type="gramEnd"/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413184EC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informatica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3C53444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strategia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72E912" w14:textId="77777777" w:rsidR="009F5732" w:rsidRPr="009F5732" w:rsidRDefault="009F5732" w:rsidP="009F5732">
            <w:pPr>
              <w:spacing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per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664459C" w14:textId="77777777" w:rsidR="009F5732" w:rsidRPr="009F5732" w:rsidRDefault="009F5732" w:rsidP="009F5732">
            <w:pPr>
              <w:spacing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la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F44FE" w14:textId="77777777" w:rsidR="009F5732" w:rsidRPr="009F5732" w:rsidRDefault="009F5732" w:rsidP="009F5732">
            <w:pPr>
              <w:spacing w:line="240" w:lineRule="auto"/>
              <w:ind w:left="135" w:right="9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Sicurezza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69D84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Livello 2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F5732" w:rsidRPr="009F5732" w14:paraId="686DE7B6" w14:textId="77777777" w:rsidTr="009F5732">
        <w:trPr>
          <w:trHeight w:val="27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41CB84" w14:textId="77777777" w:rsidR="009F5732" w:rsidRPr="009F5732" w:rsidRDefault="009F5732" w:rsidP="009F573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9788B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E.8.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2546C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Gestione della sicurezza dell’informazione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D8AAD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Livello 3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F5732" w:rsidRPr="009F5732" w14:paraId="6C6C3A28" w14:textId="77777777" w:rsidTr="009F5732">
        <w:trPr>
          <w:trHeight w:val="27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5F1B4A" w14:textId="77777777" w:rsidR="009F5732" w:rsidRPr="009F5732" w:rsidRDefault="009F5732" w:rsidP="009F5732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6CE7B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E.9.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C3467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Governance dei sistemi informativi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32697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Livello 2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F5732" w:rsidRPr="009F5732" w14:paraId="56C50ABC" w14:textId="77777777" w:rsidTr="009F5732">
        <w:trPr>
          <w:trHeight w:val="5700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49B"/>
            <w:hideMark/>
          </w:tcPr>
          <w:p w14:paraId="0EFFFF6E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lastRenderedPageBreak/>
              <w:t> </w:t>
            </w:r>
          </w:p>
          <w:p w14:paraId="0DF6CBD9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4FF6EFBD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4F58106F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007B45F3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143723AB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226006EE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58F69317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0675CB83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700D1CD4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4217F2B7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2"/>
                <w:lang w:val="en-GB" w:eastAsia="en-GB"/>
              </w:rPr>
              <w:t> </w:t>
            </w:r>
          </w:p>
          <w:p w14:paraId="2BC74081" w14:textId="77777777" w:rsidR="009F5732" w:rsidRPr="009F5732" w:rsidRDefault="009F5732" w:rsidP="009F5732">
            <w:pPr>
              <w:spacing w:line="240" w:lineRule="auto"/>
              <w:ind w:left="10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Conoscenze</w:t>
            </w: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4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26F88" w14:textId="77777777" w:rsidR="009F5732" w:rsidRPr="009F5732" w:rsidRDefault="009F5732" w:rsidP="009F5732">
            <w:pPr>
              <w:numPr>
                <w:ilvl w:val="0"/>
                <w:numId w:val="2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Conoscenza delle metodologie di vulnerability assessment, </w:t>
            </w:r>
            <w:proofErr w:type="spellStart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penetration</w:t>
            </w:r>
            <w:proofErr w:type="spellEnd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test, compliance management e Security Audit. </w:t>
            </w:r>
          </w:p>
          <w:p w14:paraId="767D5FA3" w14:textId="77777777" w:rsidR="009F5732" w:rsidRPr="009F5732" w:rsidRDefault="009F5732" w:rsidP="009F5732">
            <w:pPr>
              <w:numPr>
                <w:ilvl w:val="0"/>
                <w:numId w:val="2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Conoscenza delle diverse tipologie di attacco informatico, delle tecniche di </w:t>
            </w:r>
            <w:proofErr w:type="spellStart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penetration</w:t>
            </w:r>
            <w:proofErr w:type="spellEnd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test, degli strumenti software utilizzati e dei più importanti tool ed exploit disponibili pubblicamente. </w:t>
            </w:r>
          </w:p>
          <w:p w14:paraId="42CAE900" w14:textId="77777777" w:rsidR="009F5732" w:rsidRPr="009F5732" w:rsidRDefault="009F5732" w:rsidP="009F5732">
            <w:pPr>
              <w:numPr>
                <w:ilvl w:val="0"/>
                <w:numId w:val="2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Conoscenza</w:t>
            </w:r>
            <w:proofErr w:type="spellEnd"/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di network security (firewall, web application firewall, IPS, Network access control, pila TCP/IP). </w:t>
            </w:r>
          </w:p>
          <w:p w14:paraId="7D597758" w14:textId="77777777" w:rsidR="009F5732" w:rsidRPr="009F5732" w:rsidRDefault="009F5732" w:rsidP="009F5732">
            <w:pPr>
              <w:numPr>
                <w:ilvl w:val="0"/>
                <w:numId w:val="2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Conoscenza delle metodologie e linee guida ISO in materia di Risk Assessment e Risk Treatment e degli strumenti a supporto delle fasi di gestione del rischio. </w:t>
            </w:r>
          </w:p>
          <w:p w14:paraId="6C445CB5" w14:textId="77777777" w:rsidR="009F5732" w:rsidRPr="009F5732" w:rsidRDefault="009F5732" w:rsidP="009F5732">
            <w:pPr>
              <w:numPr>
                <w:ilvl w:val="0"/>
                <w:numId w:val="2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Conoscenza acquisita dalla partecipazione a progetti di Risk Assessment. </w:t>
            </w:r>
          </w:p>
          <w:p w14:paraId="15A581C5" w14:textId="77777777" w:rsidR="009F5732" w:rsidRPr="009F5732" w:rsidRDefault="009F5732" w:rsidP="009F5732">
            <w:pPr>
              <w:numPr>
                <w:ilvl w:val="0"/>
                <w:numId w:val="2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Conoscenza acquisita dalla partecipazione alla definizione di modelli per l’analisi del rischio. </w:t>
            </w:r>
          </w:p>
          <w:p w14:paraId="09701958" w14:textId="77777777" w:rsidR="009F5732" w:rsidRPr="009F5732" w:rsidRDefault="009F5732" w:rsidP="009F5732">
            <w:pPr>
              <w:numPr>
                <w:ilvl w:val="0"/>
                <w:numId w:val="2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Conoscenza della normativa e linee Guida </w:t>
            </w:r>
            <w:proofErr w:type="spellStart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AgiD</w:t>
            </w:r>
            <w:proofErr w:type="spellEnd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di settore in materia di Sicurezza Informatica. </w:t>
            </w:r>
          </w:p>
          <w:p w14:paraId="2C88EFFB" w14:textId="77777777" w:rsidR="009F5732" w:rsidRPr="009F5732" w:rsidRDefault="009F5732" w:rsidP="009F5732">
            <w:pPr>
              <w:numPr>
                <w:ilvl w:val="0"/>
                <w:numId w:val="2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Conoscenza della normativa in materia di privacy. </w:t>
            </w:r>
          </w:p>
          <w:p w14:paraId="1C6B2DB4" w14:textId="77777777" w:rsidR="009F5732" w:rsidRPr="009F5732" w:rsidRDefault="009F5732" w:rsidP="009F5732">
            <w:pPr>
              <w:numPr>
                <w:ilvl w:val="0"/>
                <w:numId w:val="2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Conoscenza delle policy e linee guida di sicurezza a supporto dei processi organizzativi su diversi ambiti di applicazione (es. gestione del rischio, classificazione delle informazioni, gestione degli incidenti, utilizzo sicure dei servizi informatici). </w:t>
            </w:r>
          </w:p>
        </w:tc>
      </w:tr>
      <w:tr w:rsidR="009F5732" w:rsidRPr="009F5732" w14:paraId="4241A050" w14:textId="77777777" w:rsidTr="009F5732">
        <w:trPr>
          <w:trHeight w:val="4899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49B"/>
            <w:hideMark/>
          </w:tcPr>
          <w:p w14:paraId="1421C9DA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6F496B29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6EA10239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31DF2823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5913A20D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613CB6AB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7138B82D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27FE926E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Abilità</w:t>
            </w:r>
            <w:proofErr w:type="spellEnd"/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4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45801" w14:textId="77777777" w:rsidR="009F5732" w:rsidRPr="009F5732" w:rsidRDefault="009F5732" w:rsidP="009F5732">
            <w:pPr>
              <w:numPr>
                <w:ilvl w:val="0"/>
                <w:numId w:val="3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Capacità di contribuire alla redazione di documentazione a supporto dei processi di compliance rispetto alle normative applicabili (es. Documento programmatico della sicurezza, Studio di fattibilità per la continuità operativa...). </w:t>
            </w:r>
          </w:p>
          <w:p w14:paraId="14F11A99" w14:textId="77777777" w:rsidR="009F5732" w:rsidRPr="009F5732" w:rsidRDefault="009F5732" w:rsidP="009F5732">
            <w:pPr>
              <w:numPr>
                <w:ilvl w:val="0"/>
                <w:numId w:val="3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Capacità di contribuire alla redazione di documentazione tecnica e di progetto. </w:t>
            </w:r>
          </w:p>
          <w:p w14:paraId="0096195B" w14:textId="77777777" w:rsidR="009F5732" w:rsidRPr="009F5732" w:rsidRDefault="009F5732" w:rsidP="009F5732">
            <w:pPr>
              <w:numPr>
                <w:ilvl w:val="0"/>
                <w:numId w:val="3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Capacità di partecipare allo studio dei sistemi e delle reti di computer per la valutazione dei rischi per determinare come migliorare le politiche e i protocolli di sicurezza. </w:t>
            </w:r>
          </w:p>
          <w:p w14:paraId="19576D43" w14:textId="77777777" w:rsidR="009F5732" w:rsidRPr="009F5732" w:rsidRDefault="009F5732" w:rsidP="009F5732">
            <w:pPr>
              <w:numPr>
                <w:ilvl w:val="0"/>
                <w:numId w:val="3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Capacità di contribuire alla correlazione dei cambiamenti dei sistemi informatici con gli attacchi informatici possono essere difficili da rilevare. </w:t>
            </w:r>
          </w:p>
          <w:p w14:paraId="4A075578" w14:textId="77777777" w:rsidR="009F5732" w:rsidRPr="009F5732" w:rsidRDefault="009F5732" w:rsidP="009F5732">
            <w:pPr>
              <w:numPr>
                <w:ilvl w:val="0"/>
                <w:numId w:val="3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Capacità di supporto nell’anticipare i rischi per la sicurezza delle informazioni e nell’implementare nuovi modi per proteggere i sistemi informatici e le reti delle organizzazioni. </w:t>
            </w:r>
          </w:p>
          <w:p w14:paraId="1666AF6E" w14:textId="77777777" w:rsidR="009F5732" w:rsidRPr="009F5732" w:rsidRDefault="009F5732" w:rsidP="009F5732">
            <w:pPr>
              <w:numPr>
                <w:ilvl w:val="0"/>
                <w:numId w:val="3"/>
              </w:numPr>
              <w:spacing w:line="240" w:lineRule="auto"/>
              <w:ind w:left="1185" w:firstLine="0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Capacità di collaborare nella risposta agli avvisi di sicurezza, nella correzione dei </w:t>
            </w:r>
          </w:p>
          <w:p w14:paraId="7C64CE0C" w14:textId="77777777" w:rsidR="009F5732" w:rsidRPr="009F5732" w:rsidRDefault="009F5732" w:rsidP="009F5732">
            <w:pPr>
              <w:tabs>
                <w:tab w:val="num" w:pos="720"/>
              </w:tabs>
              <w:spacing w:line="240" w:lineRule="auto"/>
              <w:ind w:left="1185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difetti nei sistemi e nelle reti di computer. </w:t>
            </w:r>
          </w:p>
        </w:tc>
      </w:tr>
      <w:tr w:rsidR="009F5732" w:rsidRPr="009F5732" w14:paraId="307AEC39" w14:textId="77777777" w:rsidTr="009F5732">
        <w:trPr>
          <w:trHeight w:val="560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49B"/>
            <w:hideMark/>
          </w:tcPr>
          <w:p w14:paraId="6AB003F0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Certificazioni</w:t>
            </w:r>
            <w:proofErr w:type="spellEnd"/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4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3F715" w14:textId="77777777" w:rsidR="009F5732" w:rsidRPr="009F5732" w:rsidRDefault="009F5732" w:rsidP="009F5732">
            <w:pPr>
              <w:tabs>
                <w:tab w:val="num" w:pos="720"/>
              </w:tabs>
              <w:spacing w:line="240" w:lineRule="auto"/>
              <w:ind w:left="1185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 </w:t>
            </w:r>
          </w:p>
        </w:tc>
      </w:tr>
      <w:tr w:rsidR="009F5732" w:rsidRPr="009F5732" w14:paraId="775F109E" w14:textId="77777777" w:rsidTr="009F5732">
        <w:trPr>
          <w:trHeight w:val="646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49B"/>
            <w:hideMark/>
          </w:tcPr>
          <w:p w14:paraId="76C50977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Titolo di studio </w:t>
            </w:r>
          </w:p>
        </w:tc>
        <w:tc>
          <w:tcPr>
            <w:tcW w:w="74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9145E" w14:textId="77777777" w:rsidR="009F5732" w:rsidRPr="009F5732" w:rsidRDefault="009F5732" w:rsidP="009F5732">
            <w:pPr>
              <w:tabs>
                <w:tab w:val="num" w:pos="720"/>
              </w:tabs>
              <w:spacing w:line="240" w:lineRule="auto"/>
              <w:ind w:left="1185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Laurea triennale in materie scientifiche o cultura equivalente. </w:t>
            </w:r>
          </w:p>
        </w:tc>
      </w:tr>
      <w:tr w:rsidR="009F5732" w:rsidRPr="009F5732" w14:paraId="232790F7" w14:textId="77777777" w:rsidTr="009F5732">
        <w:trPr>
          <w:trHeight w:val="1017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49B"/>
            <w:hideMark/>
          </w:tcPr>
          <w:p w14:paraId="150D7FA1" w14:textId="77777777" w:rsidR="009F5732" w:rsidRPr="009F5732" w:rsidRDefault="009F5732" w:rsidP="009F573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proofErr w:type="spellStart"/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Anzianità</w:t>
            </w:r>
            <w:proofErr w:type="spellEnd"/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lavorativa</w:t>
            </w:r>
            <w:proofErr w:type="spellEnd"/>
            <w:r w:rsidRPr="009F573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4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AF00B" w14:textId="495251D8" w:rsidR="009F5732" w:rsidRPr="009F5732" w:rsidRDefault="009F5732" w:rsidP="009F5732">
            <w:pPr>
              <w:tabs>
                <w:tab w:val="num" w:pos="720"/>
              </w:tabs>
              <w:spacing w:line="240" w:lineRule="auto"/>
              <w:ind w:left="1185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Minimo 4 anni da computarsi successivamente al conseguimento </w:t>
            </w:r>
            <w:proofErr w:type="gramStart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della diploma</w:t>
            </w:r>
            <w:proofErr w:type="gramEnd"/>
            <w:r w:rsidRPr="009F57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di laurea, di cui almeno 2 nella funzione </w:t>
            </w:r>
          </w:p>
        </w:tc>
      </w:tr>
    </w:tbl>
    <w:p w14:paraId="55957655" w14:textId="77777777" w:rsidR="009F5732" w:rsidRDefault="009F5732"/>
    <w:sectPr w:rsidR="009F5732" w:rsidSect="00326C39">
      <w:pgSz w:w="11906" w:h="16838" w:code="9"/>
      <w:pgMar w:top="1134" w:right="1134" w:bottom="1134" w:left="1134" w:header="720" w:footer="72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04EA"/>
    <w:multiLevelType w:val="multilevel"/>
    <w:tmpl w:val="4BB6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697C5B"/>
    <w:multiLevelType w:val="multilevel"/>
    <w:tmpl w:val="E384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13264"/>
    <w:multiLevelType w:val="multilevel"/>
    <w:tmpl w:val="C766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4291549">
    <w:abstractNumId w:val="0"/>
  </w:num>
  <w:num w:numId="2" w16cid:durableId="150365728">
    <w:abstractNumId w:val="1"/>
  </w:num>
  <w:num w:numId="3" w16cid:durableId="185206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32"/>
    <w:rsid w:val="00326C39"/>
    <w:rsid w:val="004F7B24"/>
    <w:rsid w:val="00814B8D"/>
    <w:rsid w:val="0091291A"/>
    <w:rsid w:val="009F5732"/>
    <w:rsid w:val="00B85CB3"/>
    <w:rsid w:val="00E93B16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A640"/>
  <w15:chartTrackingRefBased/>
  <w15:docId w15:val="{948893AF-4791-4467-840F-03FCCEB9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B8D"/>
    <w:pPr>
      <w:spacing w:after="0" w:line="360" w:lineRule="auto"/>
    </w:pPr>
    <w:rPr>
      <w:rFonts w:ascii="Baskerville Old Face" w:hAnsi="Baskerville Old Face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B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5CB3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  <w:u w:val="single"/>
    </w:rPr>
  </w:style>
  <w:style w:type="paragraph" w:styleId="Titolo3">
    <w:name w:val="heading 3"/>
    <w:basedOn w:val="Normale"/>
    <w:link w:val="Titolo3Carattere"/>
    <w:uiPriority w:val="9"/>
    <w:unhideWhenUsed/>
    <w:qFormat/>
    <w:rsid w:val="00B85CB3"/>
    <w:pPr>
      <w:widowControl w:val="0"/>
      <w:autoSpaceDE w:val="0"/>
      <w:autoSpaceDN w:val="0"/>
      <w:spacing w:line="240" w:lineRule="auto"/>
      <w:ind w:left="1212" w:hanging="577"/>
      <w:jc w:val="both"/>
      <w:outlineLvl w:val="2"/>
    </w:pPr>
    <w:rPr>
      <w:rFonts w:ascii="Arial" w:eastAsia="Arial" w:hAnsi="Arial" w:cs="Arial"/>
      <w:bCs/>
      <w:i/>
      <w:iCs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3B1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5CB3"/>
    <w:rPr>
      <w:rFonts w:ascii="Arial" w:eastAsia="Arial" w:hAnsi="Arial" w:cs="Arial"/>
      <w:bCs/>
      <w:i/>
      <w:iCs/>
      <w:sz w:val="24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5CB3"/>
    <w:rPr>
      <w:rFonts w:ascii="Baskerville Old Face" w:eastAsiaTheme="majorEastAsia" w:hAnsi="Baskerville Old Face" w:cstheme="majorBidi"/>
      <w:b/>
      <w:sz w:val="26"/>
      <w:szCs w:val="26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1291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291A"/>
    <w:rPr>
      <w:rFonts w:ascii="Times New Roman" w:eastAsia="Times New Roman" w:hAnsi="Times New Roman" w:cs="Times New Roman"/>
      <w:lang w:val="en-US"/>
    </w:rPr>
  </w:style>
  <w:style w:type="paragraph" w:customStyle="1" w:styleId="Box">
    <w:name w:val="Box"/>
    <w:basedOn w:val="Corpotesto"/>
    <w:link w:val="BoxCarattere"/>
    <w:qFormat/>
    <w:rsid w:val="00FF615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144"/>
      </w:tabs>
      <w:autoSpaceDE/>
      <w:autoSpaceDN/>
      <w:ind w:left="930" w:right="1877" w:firstLine="284"/>
      <w:jc w:val="both"/>
    </w:pPr>
    <w:rPr>
      <w:rFonts w:eastAsiaTheme="minorHAnsi" w:cstheme="minorBidi"/>
      <w:lang w:val="en-GB"/>
    </w:rPr>
  </w:style>
  <w:style w:type="character" w:customStyle="1" w:styleId="BoxCarattere">
    <w:name w:val="Box Carattere"/>
    <w:basedOn w:val="CorpotestoCarattere"/>
    <w:link w:val="Box"/>
    <w:rsid w:val="00FF615D"/>
    <w:rPr>
      <w:rFonts w:ascii="Times New Roman" w:eastAsia="Times New Roman" w:hAnsi="Times New Roman" w:cs="Times New Roman"/>
      <w:lang w:val="en-GB"/>
    </w:rPr>
  </w:style>
  <w:style w:type="paragraph" w:customStyle="1" w:styleId="paragraph">
    <w:name w:val="paragraph"/>
    <w:basedOn w:val="Normale"/>
    <w:rsid w:val="009F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9F5732"/>
  </w:style>
  <w:style w:type="character" w:customStyle="1" w:styleId="eop">
    <w:name w:val="eop"/>
    <w:basedOn w:val="Carpredefinitoparagrafo"/>
    <w:rsid w:val="009F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CECIL WRIGHT</dc:creator>
  <cp:keywords/>
  <dc:description/>
  <cp:lastModifiedBy>ANTHONY CECIL WRIGHT</cp:lastModifiedBy>
  <cp:revision>2</cp:revision>
  <dcterms:created xsi:type="dcterms:W3CDTF">2022-06-20T19:40:00Z</dcterms:created>
  <dcterms:modified xsi:type="dcterms:W3CDTF">2022-06-20T19:40:00Z</dcterms:modified>
</cp:coreProperties>
</file>